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napToGrid w:val="0"/>
          <w:kern w:val="0"/>
          <w:sz w:val="44"/>
          <w:szCs w:val="44"/>
        </w:rPr>
      </w:pPr>
      <w:r>
        <w:rPr>
          <w:rFonts w:hint="eastAsia" w:ascii="宋体" w:hAnsi="宋体"/>
          <w:b/>
          <w:snapToGrid w:val="0"/>
          <w:kern w:val="0"/>
          <w:sz w:val="44"/>
          <w:szCs w:val="44"/>
        </w:rPr>
        <w:t>广西工业职业技术学院</w:t>
      </w:r>
    </w:p>
    <w:p>
      <w:pPr>
        <w:adjustRightInd w:val="0"/>
        <w:snapToGrid w:val="0"/>
        <w:spacing w:line="360" w:lineRule="auto"/>
        <w:jc w:val="center"/>
        <w:rPr>
          <w:rFonts w:ascii="宋体" w:hAnsi="宋体"/>
          <w:b/>
          <w:snapToGrid w:val="0"/>
          <w:kern w:val="0"/>
          <w:sz w:val="44"/>
          <w:szCs w:val="44"/>
        </w:rPr>
      </w:pPr>
      <w:r>
        <w:rPr>
          <w:rFonts w:hint="eastAsia" w:ascii="宋体" w:hAnsi="宋体"/>
          <w:b/>
          <w:snapToGrid w:val="0"/>
          <w:kern w:val="0"/>
          <w:sz w:val="44"/>
          <w:szCs w:val="44"/>
        </w:rPr>
        <w:t>2021部门预算编制说明</w:t>
      </w:r>
    </w:p>
    <w:p>
      <w:pPr>
        <w:adjustRightInd w:val="0"/>
        <w:snapToGrid w:val="0"/>
        <w:spacing w:line="360" w:lineRule="auto"/>
        <w:jc w:val="center"/>
        <w:rPr>
          <w:rFonts w:ascii="宋体" w:hAnsi="宋体"/>
          <w:b/>
          <w:snapToGrid w:val="0"/>
          <w:kern w:val="0"/>
          <w:sz w:val="44"/>
          <w:szCs w:val="44"/>
        </w:rPr>
      </w:pPr>
    </w:p>
    <w:p>
      <w:pPr>
        <w:adjustRightInd w:val="0"/>
        <w:snapToGrid w:val="0"/>
        <w:spacing w:line="360" w:lineRule="auto"/>
        <w:jc w:val="center"/>
        <w:rPr>
          <w:rFonts w:ascii="宋体" w:hAnsi="宋体" w:cs="宋体"/>
          <w:bCs/>
          <w:sz w:val="28"/>
          <w:szCs w:val="28"/>
        </w:rPr>
      </w:pPr>
      <w:r>
        <w:rPr>
          <w:rFonts w:hint="eastAsia" w:ascii="宋体" w:hAnsi="宋体" w:cs="宋体"/>
          <w:bCs/>
          <w:sz w:val="28"/>
          <w:szCs w:val="28"/>
        </w:rPr>
        <w:t>目录</w:t>
      </w:r>
    </w:p>
    <w:p>
      <w:pPr>
        <w:adjustRightInd w:val="0"/>
        <w:snapToGrid w:val="0"/>
        <w:spacing w:line="360" w:lineRule="auto"/>
        <w:ind w:firstLine="560" w:firstLineChars="200"/>
        <w:rPr>
          <w:rFonts w:ascii="宋体" w:hAnsi="宋体" w:cs="宋体"/>
          <w:bCs/>
          <w:sz w:val="28"/>
          <w:szCs w:val="28"/>
        </w:rPr>
      </w:pPr>
      <w:r>
        <w:rPr>
          <w:rFonts w:hint="eastAsia" w:ascii="宋体" w:hAnsi="宋体" w:cs="宋体"/>
          <w:bCs/>
          <w:sz w:val="28"/>
          <w:szCs w:val="28"/>
        </w:rPr>
        <w:t>第一部分：广西工业职业技术学院概况</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一、主要职能</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二、机构设置情况</w:t>
      </w:r>
    </w:p>
    <w:p>
      <w:pPr>
        <w:adjustRightInd w:val="0"/>
        <w:snapToGrid w:val="0"/>
        <w:spacing w:line="360" w:lineRule="auto"/>
        <w:ind w:firstLine="560" w:firstLineChars="200"/>
        <w:rPr>
          <w:rFonts w:ascii="宋体" w:hAnsi="宋体" w:cs="宋体"/>
          <w:bCs/>
          <w:sz w:val="28"/>
          <w:szCs w:val="28"/>
        </w:rPr>
      </w:pPr>
      <w:r>
        <w:rPr>
          <w:rFonts w:hint="eastAsia" w:ascii="宋体" w:hAnsi="宋体" w:cs="宋体"/>
          <w:sz w:val="28"/>
          <w:szCs w:val="28"/>
        </w:rPr>
        <w:t>第二部分：</w:t>
      </w:r>
      <w:r>
        <w:rPr>
          <w:rFonts w:hint="eastAsia" w:ascii="宋体" w:hAnsi="宋体" w:cs="宋体"/>
          <w:bCs/>
          <w:sz w:val="28"/>
          <w:szCs w:val="28"/>
        </w:rPr>
        <w:t>广西工业职业技术学院</w:t>
      </w:r>
      <w:r>
        <w:rPr>
          <w:rFonts w:hint="eastAsia" w:ascii="宋体" w:hAnsi="宋体" w:cs="宋体"/>
          <w:sz w:val="28"/>
          <w:szCs w:val="28"/>
        </w:rPr>
        <w:t>2021年部门预算报表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一、部门收支总表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二、部门收入总表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三、部门支出总表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四、财政拨款收支总表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五、一般公共预算支出表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六、一般公共预算基本支出表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七、一般公共预算“三公”经费支出表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八、政府性基金预算支出表</w:t>
      </w:r>
    </w:p>
    <w:p>
      <w:pPr>
        <w:adjustRightInd w:val="0"/>
        <w:snapToGrid w:val="0"/>
        <w:spacing w:line="360" w:lineRule="auto"/>
        <w:ind w:firstLine="640"/>
        <w:rPr>
          <w:rFonts w:ascii="宋体" w:hAnsi="宋体" w:cs="宋体"/>
          <w:sz w:val="28"/>
          <w:szCs w:val="28"/>
          <w:highlight w:val="yellow"/>
        </w:rPr>
      </w:pPr>
      <w:r>
        <w:rPr>
          <w:rFonts w:hint="eastAsia" w:ascii="宋体" w:hAnsi="宋体" w:cs="宋体"/>
          <w:sz w:val="28"/>
          <w:szCs w:val="28"/>
        </w:rPr>
        <w:t>九、项目年度绩效目标</w:t>
      </w:r>
    </w:p>
    <w:p>
      <w:pPr>
        <w:adjustRightInd w:val="0"/>
        <w:snapToGrid w:val="0"/>
        <w:spacing w:line="360" w:lineRule="auto"/>
        <w:ind w:firstLine="640"/>
        <w:rPr>
          <w:rFonts w:ascii="宋体" w:hAnsi="宋体" w:cs="宋体"/>
          <w:sz w:val="28"/>
          <w:szCs w:val="28"/>
        </w:rPr>
      </w:pPr>
    </w:p>
    <w:p>
      <w:pPr>
        <w:adjustRightInd w:val="0"/>
        <w:snapToGrid w:val="0"/>
        <w:spacing w:line="360" w:lineRule="auto"/>
        <w:ind w:firstLine="560" w:firstLineChars="200"/>
        <w:rPr>
          <w:rFonts w:ascii="宋体" w:hAnsi="宋体" w:cs="宋体"/>
          <w:bCs/>
          <w:sz w:val="28"/>
          <w:szCs w:val="28"/>
        </w:rPr>
      </w:pPr>
      <w:r>
        <w:rPr>
          <w:rFonts w:hint="eastAsia" w:ascii="宋体" w:hAnsi="宋体" w:cs="宋体"/>
          <w:sz w:val="28"/>
          <w:szCs w:val="28"/>
        </w:rPr>
        <w:t>第三部分：</w:t>
      </w:r>
      <w:r>
        <w:rPr>
          <w:rFonts w:hint="eastAsia" w:ascii="宋体" w:hAnsi="宋体" w:cs="宋体"/>
          <w:bCs/>
          <w:sz w:val="28"/>
          <w:szCs w:val="28"/>
        </w:rPr>
        <w:t>广西工业职业技术学院</w:t>
      </w:r>
      <w:r>
        <w:rPr>
          <w:rFonts w:hint="eastAsia" w:ascii="宋体" w:hAnsi="宋体" w:cs="宋体"/>
          <w:sz w:val="28"/>
          <w:szCs w:val="28"/>
        </w:rPr>
        <w:t>2021年部门预算情况说明</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第四部分：名词解释</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before="100" w:beforeAutospacing="1" w:after="100" w:afterAutospacing="1" w:line="360" w:lineRule="auto"/>
        <w:ind w:firstLine="560" w:firstLineChars="200"/>
        <w:rPr>
          <w:rFonts w:ascii="宋体" w:hAnsi="宋体" w:cs="宋体"/>
          <w:bCs/>
          <w:sz w:val="28"/>
          <w:szCs w:val="28"/>
        </w:rPr>
      </w:pPr>
      <w:r>
        <w:rPr>
          <w:rFonts w:hint="eastAsia" w:ascii="宋体" w:hAnsi="宋体" w:cs="宋体"/>
          <w:bCs/>
          <w:sz w:val="28"/>
          <w:szCs w:val="28"/>
        </w:rPr>
        <w:t>第一部分：广西工业职业技术学院部门概况</w:t>
      </w:r>
    </w:p>
    <w:p>
      <w:pPr>
        <w:numPr>
          <w:ilvl w:val="0"/>
          <w:numId w:val="1"/>
        </w:numPr>
        <w:adjustRightInd w:val="0"/>
        <w:snapToGrid w:val="0"/>
        <w:spacing w:before="100" w:beforeAutospacing="1" w:after="312" w:afterLines="100"/>
        <w:ind w:firstLine="560" w:firstLineChars="200"/>
        <w:rPr>
          <w:rFonts w:ascii="宋体" w:hAnsi="宋体" w:cs="宋体"/>
          <w:bCs/>
          <w:sz w:val="28"/>
          <w:szCs w:val="28"/>
        </w:rPr>
      </w:pPr>
      <w:r>
        <w:rPr>
          <w:rFonts w:hint="eastAsia" w:ascii="宋体" w:hAnsi="宋体" w:cs="宋体"/>
          <w:bCs/>
          <w:sz w:val="28"/>
          <w:szCs w:val="28"/>
        </w:rPr>
        <w:t>主要职能</w:t>
      </w:r>
    </w:p>
    <w:p>
      <w:pPr>
        <w:adjustRightInd w:val="0"/>
        <w:snapToGrid w:val="0"/>
        <w:spacing w:line="360" w:lineRule="auto"/>
        <w:ind w:firstLine="640"/>
        <w:rPr>
          <w:color w:val="000000"/>
          <w:sz w:val="30"/>
          <w:szCs w:val="30"/>
          <w:shd w:val="clear" w:color="auto" w:fill="FFFFFF"/>
        </w:rPr>
      </w:pPr>
      <w:r>
        <w:rPr>
          <w:rFonts w:hint="eastAsia"/>
          <w:color w:val="000000"/>
          <w:sz w:val="30"/>
          <w:szCs w:val="30"/>
          <w:shd w:val="clear" w:color="auto" w:fill="FFFFFF"/>
        </w:rPr>
        <w:t>学院坚持“立足广西，服务工业”的办学定位，以高等职业教育为主，职工培训、继续教育为辅。重点服务广西工业和信息化建设，主体专业紧密对接广西传统优势产业、先进制造业和战略性新兴产业。</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二、机构设置情况</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学院为全额拨款事业单位，预算管理级次为二级，执行《政府会计制度》，设有19个党务、行政管理、教辅机构及11个二级学院和一个附属中等职业学校。</w:t>
      </w:r>
    </w:p>
    <w:p>
      <w:pPr>
        <w:adjustRightInd w:val="0"/>
        <w:snapToGrid w:val="0"/>
        <w:spacing w:line="570" w:lineRule="exact"/>
        <w:ind w:firstLine="560"/>
        <w:rPr>
          <w:rFonts w:ascii="宋体" w:hAnsi="宋体" w:cs="宋体"/>
          <w:sz w:val="28"/>
          <w:szCs w:val="28"/>
        </w:rPr>
      </w:pPr>
    </w:p>
    <w:p>
      <w:pPr>
        <w:adjustRightInd w:val="0"/>
        <w:snapToGrid w:val="0"/>
        <w:spacing w:before="156" w:beforeLines="50" w:after="156" w:afterLines="50" w:line="360" w:lineRule="auto"/>
        <w:ind w:firstLine="560" w:firstLineChars="200"/>
        <w:rPr>
          <w:rFonts w:ascii="宋体" w:hAnsi="宋体" w:cs="宋体"/>
          <w:sz w:val="28"/>
          <w:szCs w:val="28"/>
        </w:rPr>
      </w:pPr>
      <w:r>
        <w:rPr>
          <w:rFonts w:hint="eastAsia" w:ascii="宋体" w:hAnsi="宋体" w:cs="宋体"/>
          <w:sz w:val="28"/>
          <w:szCs w:val="28"/>
        </w:rPr>
        <w:t>第二部分：</w:t>
      </w:r>
      <w:r>
        <w:rPr>
          <w:rFonts w:hint="eastAsia" w:ascii="宋体" w:hAnsi="宋体" w:cs="宋体"/>
          <w:bCs/>
          <w:sz w:val="28"/>
          <w:szCs w:val="28"/>
        </w:rPr>
        <w:t>广西工业职业技术学院</w:t>
      </w:r>
      <w:r>
        <w:rPr>
          <w:rFonts w:hint="eastAsia" w:ascii="宋体" w:hAnsi="宋体" w:cs="宋体"/>
          <w:sz w:val="28"/>
          <w:szCs w:val="28"/>
        </w:rPr>
        <w:t>2021年部门预算报表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一、部门收支总表（详见</w:t>
      </w:r>
      <w:r>
        <w:rPr>
          <w:rFonts w:hint="eastAsia" w:ascii="宋体" w:hAnsi="宋体" w:cs="宋体"/>
          <w:bCs/>
          <w:sz w:val="28"/>
          <w:szCs w:val="28"/>
        </w:rPr>
        <w:t>广西工业职业技术学院2021年</w:t>
      </w:r>
      <w:r>
        <w:rPr>
          <w:rFonts w:hint="eastAsia" w:ascii="宋体" w:hAnsi="宋体" w:cs="宋体"/>
          <w:sz w:val="28"/>
          <w:szCs w:val="28"/>
        </w:rPr>
        <w:t>部门预算报表01表）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二、部门收入总表（详见</w:t>
      </w:r>
      <w:r>
        <w:rPr>
          <w:rFonts w:hint="eastAsia" w:ascii="宋体" w:hAnsi="宋体" w:cs="宋体"/>
          <w:bCs/>
          <w:sz w:val="28"/>
          <w:szCs w:val="28"/>
        </w:rPr>
        <w:t>广西工业职业技术学院2021年</w:t>
      </w:r>
      <w:r>
        <w:rPr>
          <w:rFonts w:hint="eastAsia" w:ascii="宋体" w:hAnsi="宋体" w:cs="宋体"/>
          <w:sz w:val="28"/>
          <w:szCs w:val="28"/>
        </w:rPr>
        <w:t>部门预算报表02表）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三、部门支出总表（详见</w:t>
      </w:r>
      <w:r>
        <w:rPr>
          <w:rFonts w:hint="eastAsia" w:ascii="宋体" w:hAnsi="宋体" w:cs="宋体"/>
          <w:bCs/>
          <w:sz w:val="28"/>
          <w:szCs w:val="28"/>
        </w:rPr>
        <w:t>广西工业职业技术学院2021年</w:t>
      </w:r>
      <w:r>
        <w:rPr>
          <w:rFonts w:hint="eastAsia" w:ascii="宋体" w:hAnsi="宋体" w:cs="宋体"/>
          <w:sz w:val="28"/>
          <w:szCs w:val="28"/>
        </w:rPr>
        <w:t>部门预算报表03表）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四、财政拨款收支总表（详见</w:t>
      </w:r>
      <w:r>
        <w:rPr>
          <w:rFonts w:hint="eastAsia" w:ascii="宋体" w:hAnsi="宋体" w:cs="宋体"/>
          <w:bCs/>
          <w:sz w:val="28"/>
          <w:szCs w:val="28"/>
        </w:rPr>
        <w:t>广西工业职业技术学院2021年</w:t>
      </w:r>
      <w:r>
        <w:rPr>
          <w:rFonts w:hint="eastAsia" w:ascii="宋体" w:hAnsi="宋体" w:cs="宋体"/>
          <w:sz w:val="28"/>
          <w:szCs w:val="28"/>
        </w:rPr>
        <w:t>部门预算报表04表）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五、一般公共预算支出表（详见</w:t>
      </w:r>
      <w:r>
        <w:rPr>
          <w:rFonts w:hint="eastAsia" w:ascii="宋体" w:hAnsi="宋体" w:cs="宋体"/>
          <w:bCs/>
          <w:sz w:val="28"/>
          <w:szCs w:val="28"/>
        </w:rPr>
        <w:t>广西工业职业技术学院2021年</w:t>
      </w:r>
      <w:r>
        <w:rPr>
          <w:rFonts w:hint="eastAsia" w:ascii="宋体" w:hAnsi="宋体" w:cs="宋体"/>
          <w:sz w:val="28"/>
          <w:szCs w:val="28"/>
        </w:rPr>
        <w:t>部门预算报表05表）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六、一般公共预算基本支出表（详见</w:t>
      </w:r>
      <w:r>
        <w:rPr>
          <w:rFonts w:hint="eastAsia" w:ascii="宋体" w:hAnsi="宋体" w:cs="宋体"/>
          <w:bCs/>
          <w:sz w:val="28"/>
          <w:szCs w:val="28"/>
        </w:rPr>
        <w:t>广西工业职业技术学院2021年</w:t>
      </w:r>
      <w:r>
        <w:rPr>
          <w:rFonts w:hint="eastAsia" w:ascii="宋体" w:hAnsi="宋体" w:cs="宋体"/>
          <w:sz w:val="28"/>
          <w:szCs w:val="28"/>
        </w:rPr>
        <w:t>部门预算报表06表）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七、一般公共预算“三公”经费支出表（详见</w:t>
      </w:r>
      <w:r>
        <w:rPr>
          <w:rFonts w:hint="eastAsia" w:ascii="宋体" w:hAnsi="宋体" w:cs="宋体"/>
          <w:bCs/>
          <w:sz w:val="28"/>
          <w:szCs w:val="28"/>
        </w:rPr>
        <w:t>广西工业职业技术学院2021年</w:t>
      </w:r>
      <w:r>
        <w:rPr>
          <w:rFonts w:hint="eastAsia" w:ascii="宋体" w:hAnsi="宋体" w:cs="宋体"/>
          <w:sz w:val="28"/>
          <w:szCs w:val="28"/>
        </w:rPr>
        <w:t>部门预算报表07表）</w:t>
      </w:r>
    </w:p>
    <w:p>
      <w:pPr>
        <w:adjustRightInd w:val="0"/>
        <w:snapToGrid w:val="0"/>
        <w:spacing w:line="360" w:lineRule="auto"/>
        <w:ind w:firstLine="640"/>
        <w:rPr>
          <w:rFonts w:ascii="宋体" w:hAnsi="宋体" w:cs="宋体"/>
          <w:sz w:val="28"/>
          <w:szCs w:val="28"/>
        </w:rPr>
      </w:pPr>
      <w:r>
        <w:rPr>
          <w:rFonts w:hint="eastAsia" w:ascii="宋体" w:hAnsi="宋体" w:cs="宋体"/>
          <w:sz w:val="28"/>
          <w:szCs w:val="28"/>
        </w:rPr>
        <w:t>八、政府性基金预算支出表（详见</w:t>
      </w:r>
      <w:r>
        <w:rPr>
          <w:rFonts w:hint="eastAsia" w:ascii="宋体" w:hAnsi="宋体" w:cs="宋体"/>
          <w:bCs/>
          <w:sz w:val="28"/>
          <w:szCs w:val="28"/>
        </w:rPr>
        <w:t>广西工业职业技术学院2021年</w:t>
      </w:r>
      <w:r>
        <w:rPr>
          <w:rFonts w:hint="eastAsia" w:ascii="宋体" w:hAnsi="宋体" w:cs="宋体"/>
          <w:sz w:val="28"/>
          <w:szCs w:val="28"/>
        </w:rPr>
        <w:t>部门预算报表08表）</w:t>
      </w:r>
    </w:p>
    <w:p>
      <w:pPr>
        <w:adjustRightInd w:val="0"/>
        <w:snapToGrid w:val="0"/>
        <w:spacing w:before="156" w:beforeLines="50" w:after="156" w:afterLines="50" w:line="360" w:lineRule="auto"/>
        <w:rPr>
          <w:rFonts w:ascii="宋体" w:hAnsi="宋体" w:cs="宋体"/>
          <w:sz w:val="28"/>
          <w:szCs w:val="28"/>
        </w:rPr>
      </w:pPr>
    </w:p>
    <w:p>
      <w:pPr>
        <w:adjustRightInd w:val="0"/>
        <w:snapToGrid w:val="0"/>
        <w:spacing w:before="156" w:beforeLines="50" w:after="156" w:afterLines="50" w:line="360" w:lineRule="auto"/>
        <w:ind w:firstLine="641"/>
        <w:rPr>
          <w:rFonts w:ascii="宋体" w:hAnsi="宋体" w:cs="宋体"/>
          <w:sz w:val="28"/>
          <w:szCs w:val="28"/>
        </w:rPr>
      </w:pPr>
      <w:r>
        <w:rPr>
          <w:rFonts w:hint="eastAsia" w:ascii="宋体" w:hAnsi="宋体" w:cs="宋体"/>
          <w:sz w:val="28"/>
          <w:szCs w:val="28"/>
        </w:rPr>
        <w:t>第三部分：广西工业职业技术学院2021年部门预算情况说明</w:t>
      </w:r>
    </w:p>
    <w:p>
      <w:pPr>
        <w:adjustRightInd w:val="0"/>
        <w:snapToGrid w:val="0"/>
        <w:spacing w:line="570" w:lineRule="exact"/>
        <w:ind w:firstLine="560" w:firstLineChars="200"/>
        <w:rPr>
          <w:rFonts w:ascii="宋体" w:hAnsi="宋体" w:cs="宋体"/>
          <w:b/>
          <w:kern w:val="0"/>
          <w:sz w:val="28"/>
          <w:szCs w:val="28"/>
        </w:rPr>
      </w:pPr>
      <w:r>
        <w:rPr>
          <w:rFonts w:hint="eastAsia" w:ascii="宋体" w:hAnsi="宋体" w:cs="宋体"/>
          <w:b/>
          <w:kern w:val="0"/>
          <w:sz w:val="28"/>
          <w:szCs w:val="28"/>
        </w:rPr>
        <w:t>一、收支预算情况说明</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（一）收入预算说明</w:t>
      </w:r>
    </w:p>
    <w:p>
      <w:pPr>
        <w:spacing w:line="360" w:lineRule="auto"/>
        <w:ind w:firstLine="560" w:firstLineChars="200"/>
        <w:rPr>
          <w:rFonts w:ascii="宋体" w:hAnsi="宋体" w:cs="宋体"/>
          <w:snapToGrid w:val="0"/>
          <w:kern w:val="0"/>
          <w:sz w:val="28"/>
          <w:szCs w:val="28"/>
        </w:rPr>
      </w:pPr>
      <w:r>
        <w:rPr>
          <w:rFonts w:hint="eastAsia" w:ascii="宋体" w:hAnsi="宋体" w:cs="宋体"/>
          <w:sz w:val="28"/>
          <w:szCs w:val="28"/>
        </w:rPr>
        <w:t>学院2021年收入总预算45107.42万元，同比增加10604.07万元，同比增</w:t>
      </w:r>
      <w:r>
        <w:rPr>
          <w:rFonts w:hint="eastAsia" w:ascii="宋体" w:hAnsi="宋体" w:cs="宋体"/>
          <w:sz w:val="28"/>
          <w:szCs w:val="28"/>
          <w:lang w:val="en-US" w:eastAsia="zh-CN"/>
        </w:rPr>
        <w:t>长</w:t>
      </w:r>
      <w:r>
        <w:rPr>
          <w:rFonts w:hint="eastAsia" w:ascii="宋体" w:hAnsi="宋体" w:cs="宋体"/>
          <w:sz w:val="28"/>
          <w:szCs w:val="28"/>
        </w:rPr>
        <w:t>30.73%</w:t>
      </w:r>
      <w:r>
        <w:rPr>
          <w:rFonts w:hint="eastAsia" w:ascii="宋体" w:hAnsi="宋体" w:cs="宋体"/>
          <w:snapToGrid w:val="0"/>
          <w:kern w:val="0"/>
          <w:sz w:val="28"/>
          <w:szCs w:val="28"/>
        </w:rPr>
        <w:t>。其中：</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1.一般公共预算拨款21731.98万元,同比增加5258.63万元，增长31.92%</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2.纳入财政专户管理的收入安排的资金23375.44万元，同比增加5345.44万元，增长29.65%。</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（二）支出预算说明</w:t>
      </w: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2021年支出总预算45107.42万元，同比增加10604.07万元，同比增</w:t>
      </w:r>
      <w:r>
        <w:rPr>
          <w:rFonts w:hint="eastAsia" w:ascii="宋体" w:hAnsi="宋体" w:cs="宋体"/>
          <w:sz w:val="28"/>
          <w:szCs w:val="28"/>
          <w:lang w:val="en-US" w:eastAsia="zh-CN"/>
        </w:rPr>
        <w:t>长</w:t>
      </w:r>
      <w:r>
        <w:rPr>
          <w:rFonts w:hint="eastAsia" w:ascii="宋体" w:hAnsi="宋体" w:cs="宋体"/>
          <w:sz w:val="28"/>
          <w:szCs w:val="28"/>
        </w:rPr>
        <w:t>30.73%</w:t>
      </w:r>
      <w:r>
        <w:rPr>
          <w:rFonts w:hint="eastAsia" w:ascii="宋体" w:hAnsi="宋体" w:cs="宋体"/>
          <w:sz w:val="28"/>
          <w:szCs w:val="28"/>
          <w:lang w:eastAsia="zh-CN"/>
        </w:rPr>
        <w:t>。</w:t>
      </w:r>
      <w:r>
        <w:rPr>
          <w:rFonts w:hint="eastAsia" w:ascii="宋体" w:hAnsi="宋体" w:cs="宋体"/>
          <w:sz w:val="28"/>
          <w:szCs w:val="28"/>
        </w:rPr>
        <w:t>其中：基本支出预算6221.39万元，占支出总预算13.82%，同比增加917.19万元，减少14%；项目支出预算38886.03万元，占支出总预算86.18%，</w:t>
      </w:r>
      <w:r>
        <w:rPr>
          <w:rFonts w:hint="eastAsia" w:ascii="宋体" w:hAnsi="宋体" w:cs="宋体"/>
          <w:snapToGrid w:val="0"/>
          <w:kern w:val="0"/>
          <w:sz w:val="28"/>
          <w:szCs w:val="28"/>
        </w:rPr>
        <w:t>同比增加10533.94万元，增</w:t>
      </w:r>
      <w:r>
        <w:rPr>
          <w:rFonts w:hint="eastAsia" w:ascii="宋体" w:hAnsi="宋体" w:cs="宋体"/>
          <w:snapToGrid w:val="0"/>
          <w:kern w:val="0"/>
          <w:sz w:val="28"/>
          <w:szCs w:val="28"/>
          <w:lang w:val="en-US" w:eastAsia="zh-CN"/>
        </w:rPr>
        <w:t>长</w:t>
      </w:r>
      <w:bookmarkStart w:id="0" w:name="_GoBack"/>
      <w:bookmarkEnd w:id="0"/>
      <w:r>
        <w:rPr>
          <w:rFonts w:hint="eastAsia" w:ascii="宋体" w:hAnsi="宋体" w:cs="宋体"/>
          <w:snapToGrid w:val="0"/>
          <w:kern w:val="0"/>
          <w:sz w:val="28"/>
          <w:szCs w:val="28"/>
        </w:rPr>
        <w:t>37.15%。</w:t>
      </w:r>
    </w:p>
    <w:p>
      <w:pPr>
        <w:adjustRightInd w:val="0"/>
        <w:snapToGrid w:val="0"/>
        <w:spacing w:line="560" w:lineRule="exact"/>
        <w:ind w:firstLine="560" w:firstLineChars="200"/>
        <w:jc w:val="left"/>
        <w:rPr>
          <w:rFonts w:ascii="宋体" w:hAnsi="宋体" w:cs="宋体"/>
          <w:b/>
          <w:sz w:val="28"/>
          <w:szCs w:val="28"/>
        </w:rPr>
      </w:pPr>
      <w:r>
        <w:rPr>
          <w:rFonts w:hint="eastAsia" w:ascii="宋体" w:hAnsi="宋体" w:cs="宋体"/>
          <w:b/>
          <w:sz w:val="28"/>
          <w:szCs w:val="28"/>
        </w:rPr>
        <w:t>二、收入预算情况说明</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2021年收入总</w:t>
      </w:r>
      <w:r>
        <w:rPr>
          <w:rFonts w:hint="eastAsia" w:ascii="宋体" w:hAnsi="宋体" w:cs="宋体"/>
          <w:snapToGrid w:val="0"/>
          <w:kern w:val="0"/>
          <w:sz w:val="28"/>
          <w:szCs w:val="28"/>
          <w:lang w:val="en-US" w:eastAsia="zh-CN"/>
        </w:rPr>
        <w:t>45107.42</w:t>
      </w:r>
      <w:r>
        <w:rPr>
          <w:rFonts w:hint="eastAsia" w:ascii="宋体" w:hAnsi="宋体" w:cs="宋体"/>
          <w:snapToGrid w:val="0"/>
          <w:kern w:val="0"/>
          <w:sz w:val="28"/>
          <w:szCs w:val="28"/>
        </w:rPr>
        <w:t>万元，其中经费拨款21731.98万元，</w:t>
      </w:r>
      <w:r>
        <w:rPr>
          <w:rFonts w:hint="eastAsia" w:ascii="宋体" w:hAnsi="宋体" w:cs="宋体"/>
          <w:snapToGrid w:val="0"/>
          <w:kern w:val="0"/>
          <w:sz w:val="28"/>
          <w:szCs w:val="28"/>
          <w:lang w:val="en-US" w:eastAsia="zh-CN"/>
        </w:rPr>
        <w:t>占总收入预算48.18%。</w:t>
      </w:r>
      <w:r>
        <w:rPr>
          <w:rFonts w:hint="eastAsia" w:ascii="宋体" w:hAnsi="宋体" w:cs="宋体"/>
          <w:snapToGrid w:val="0"/>
          <w:kern w:val="0"/>
          <w:sz w:val="28"/>
          <w:szCs w:val="28"/>
        </w:rPr>
        <w:t>财政专户管理资金收入23375.44万元。</w:t>
      </w:r>
    </w:p>
    <w:p>
      <w:pPr>
        <w:adjustRightInd w:val="0"/>
        <w:snapToGrid w:val="0"/>
        <w:spacing w:line="560" w:lineRule="exact"/>
        <w:ind w:firstLine="560" w:firstLineChars="200"/>
        <w:jc w:val="left"/>
        <w:rPr>
          <w:rFonts w:ascii="宋体" w:hAnsi="宋体" w:cs="宋体"/>
          <w:b/>
          <w:sz w:val="28"/>
          <w:szCs w:val="28"/>
        </w:rPr>
      </w:pPr>
      <w:r>
        <w:rPr>
          <w:rFonts w:hint="eastAsia" w:ascii="宋体" w:hAnsi="宋体" w:cs="宋体"/>
          <w:b/>
          <w:sz w:val="28"/>
          <w:szCs w:val="28"/>
        </w:rPr>
        <w:t>三、支出预算</w:t>
      </w:r>
      <w:r>
        <w:rPr>
          <w:rFonts w:hint="eastAsia" w:ascii="宋体" w:hAnsi="宋体" w:cs="宋体"/>
          <w:b/>
          <w:sz w:val="28"/>
          <w:szCs w:val="28"/>
          <w:lang w:val="en-US" w:eastAsia="zh-CN"/>
        </w:rPr>
        <w:t>情况</w:t>
      </w:r>
      <w:r>
        <w:rPr>
          <w:rFonts w:hint="eastAsia" w:ascii="宋体" w:hAnsi="宋体" w:cs="宋体"/>
          <w:b/>
          <w:sz w:val="28"/>
          <w:szCs w:val="28"/>
        </w:rPr>
        <w:t>说明</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2021年支出总预算45107.42万元。</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（一）按支出功能分类科目划分，共分为5类，其中：</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1.高等职业教育科目43357.34万元，同比增加12289.09万元，增</w:t>
      </w:r>
      <w:r>
        <w:rPr>
          <w:rFonts w:hint="eastAsia" w:ascii="宋体" w:hAnsi="宋体" w:cs="宋体"/>
          <w:snapToGrid w:val="0"/>
          <w:kern w:val="0"/>
          <w:sz w:val="28"/>
          <w:szCs w:val="28"/>
          <w:lang w:val="en-US" w:eastAsia="zh-CN"/>
        </w:rPr>
        <w:t>长</w:t>
      </w:r>
      <w:r>
        <w:rPr>
          <w:rFonts w:hint="eastAsia" w:ascii="宋体" w:hAnsi="宋体" w:cs="宋体"/>
          <w:snapToGrid w:val="0"/>
          <w:kern w:val="0"/>
          <w:sz w:val="28"/>
          <w:szCs w:val="28"/>
        </w:rPr>
        <w:t>37.45%。</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2.机关事业单位基本养老保险费缴费支出460.12万元，同比增加15.5万元，增</w:t>
      </w:r>
      <w:r>
        <w:rPr>
          <w:rFonts w:hint="eastAsia" w:ascii="宋体" w:hAnsi="宋体" w:cs="宋体"/>
          <w:snapToGrid w:val="0"/>
          <w:kern w:val="0"/>
          <w:sz w:val="28"/>
          <w:szCs w:val="28"/>
          <w:lang w:val="en-US" w:eastAsia="zh-CN"/>
        </w:rPr>
        <w:t>长</w:t>
      </w:r>
      <w:r>
        <w:rPr>
          <w:rFonts w:hint="eastAsia" w:ascii="宋体" w:hAnsi="宋体" w:cs="宋体"/>
          <w:snapToGrid w:val="0"/>
          <w:kern w:val="0"/>
          <w:sz w:val="28"/>
          <w:szCs w:val="28"/>
        </w:rPr>
        <w:t>3.49%。</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3.机关事业单位职业年金缴费支出230.06万元，同比增</w:t>
      </w:r>
      <w:r>
        <w:rPr>
          <w:rFonts w:hint="eastAsia" w:ascii="宋体" w:hAnsi="宋体" w:cs="宋体"/>
          <w:snapToGrid w:val="0"/>
          <w:kern w:val="0"/>
          <w:sz w:val="28"/>
          <w:szCs w:val="28"/>
          <w:lang w:val="en-US" w:eastAsia="zh-CN"/>
        </w:rPr>
        <w:t>加</w:t>
      </w:r>
      <w:r>
        <w:rPr>
          <w:rFonts w:hint="eastAsia" w:ascii="宋体" w:hAnsi="宋体" w:cs="宋体"/>
          <w:snapToGrid w:val="0"/>
          <w:kern w:val="0"/>
          <w:sz w:val="28"/>
          <w:szCs w:val="28"/>
        </w:rPr>
        <w:t>7.75万元，增长3.49%；</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4.住房公积金科目345.09万元，同比增加11.63万元，增长3.49%；</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5.事业单位医疗科目212.80万元，同比增长18.28万元，增长9.40%。</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（三）支出结构分类划分，分为基本支出预算和项目支出预算。</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1.基本支出预算</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基本支出预算6221.39万元，占支出总预算13.80%，同比增加70.13万元。其中：</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人员类项目支出预算4936.87万元，占基本支出预算79.34%，同比增长5.59%。其中工资福利支出预算3918.27万元，占72.82%，对个人和家庭补助支出预算177.89万元，占基本支出预算3.30%，减少0.37%。</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运转类公用经费（商品和服务支出）预算1284.52万元，占基本支出预算20.65%，同比减少330.44万元，减少20.46%。</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2.项目支出预算</w:t>
      </w:r>
    </w:p>
    <w:p>
      <w:pPr>
        <w:spacing w:line="360" w:lineRule="auto"/>
        <w:ind w:firstLine="560" w:firstLineChars="200"/>
        <w:rPr>
          <w:rFonts w:hint="eastAsia" w:ascii="宋体" w:hAnsi="宋体" w:eastAsia="宋体" w:cs="宋体"/>
          <w:snapToGrid w:val="0"/>
          <w:kern w:val="0"/>
          <w:sz w:val="28"/>
          <w:szCs w:val="28"/>
          <w:lang w:eastAsia="zh-CN"/>
        </w:rPr>
      </w:pPr>
      <w:r>
        <w:rPr>
          <w:rFonts w:hint="eastAsia" w:ascii="宋体" w:hAnsi="宋体" w:cs="宋体"/>
          <w:snapToGrid w:val="0"/>
          <w:kern w:val="0"/>
          <w:sz w:val="28"/>
          <w:szCs w:val="28"/>
        </w:rPr>
        <w:t>项目支出预算38886.03万元（其中：安排公共预算拨款16351.36万元，安排</w:t>
      </w:r>
      <w:r>
        <w:rPr>
          <w:rFonts w:hint="eastAsia" w:ascii="宋体" w:hAnsi="宋体" w:cs="宋体"/>
          <w:snapToGrid w:val="0"/>
          <w:kern w:val="0"/>
          <w:sz w:val="28"/>
          <w:szCs w:val="28"/>
          <w:lang w:val="en-US" w:eastAsia="zh-CN"/>
        </w:rPr>
        <w:t>财政专户</w:t>
      </w:r>
      <w:r>
        <w:rPr>
          <w:rFonts w:hint="eastAsia" w:ascii="宋体" w:hAnsi="宋体" w:cs="宋体"/>
          <w:snapToGrid w:val="0"/>
          <w:kern w:val="0"/>
          <w:sz w:val="28"/>
          <w:szCs w:val="28"/>
        </w:rPr>
        <w:t>22534.67万元），占支出总预算86.18%</w:t>
      </w:r>
      <w:r>
        <w:rPr>
          <w:rFonts w:hint="eastAsia" w:ascii="宋体" w:hAnsi="宋体" w:cs="宋体"/>
          <w:snapToGrid w:val="0"/>
          <w:kern w:val="0"/>
          <w:sz w:val="28"/>
          <w:szCs w:val="28"/>
          <w:lang w:eastAsia="zh-CN"/>
        </w:rPr>
        <w:t>，</w:t>
      </w:r>
      <w:r>
        <w:rPr>
          <w:rFonts w:hint="eastAsia" w:ascii="宋体" w:hAnsi="宋体" w:cs="宋体"/>
          <w:snapToGrid w:val="0"/>
          <w:kern w:val="0"/>
          <w:sz w:val="28"/>
          <w:szCs w:val="28"/>
        </w:rPr>
        <w:t>同比增加10533.94，增长37.15</w:t>
      </w:r>
      <w:r>
        <w:rPr>
          <w:rFonts w:hint="eastAsia" w:ascii="宋体" w:hAnsi="宋体" w:cs="宋体"/>
          <w:snapToGrid w:val="0"/>
          <w:kern w:val="0"/>
          <w:sz w:val="28"/>
          <w:szCs w:val="28"/>
          <w:lang w:val="en-US" w:eastAsia="zh-CN"/>
        </w:rPr>
        <w:t>%。</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其他运转类项目支出预算23488.16万元，占项目支出预算的60.40%。</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特定目标类项目支出预算15397.87万元，占项目支出预算的39.60%。</w:t>
      </w:r>
    </w:p>
    <w:p>
      <w:pPr>
        <w:adjustRightInd w:val="0"/>
        <w:snapToGrid w:val="0"/>
        <w:spacing w:line="360" w:lineRule="auto"/>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四、财政拨款收支预算情况说明</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2021年一般公共预算拨款</w:t>
      </w:r>
      <w:r>
        <w:rPr>
          <w:rFonts w:hint="eastAsia" w:ascii="宋体" w:hAnsi="宋体" w:cs="宋体"/>
          <w:snapToGrid w:val="0"/>
          <w:kern w:val="0"/>
          <w:sz w:val="28"/>
          <w:szCs w:val="28"/>
          <w:lang w:val="en-US" w:eastAsia="zh-CN"/>
        </w:rPr>
        <w:t>收入预算</w:t>
      </w:r>
      <w:r>
        <w:rPr>
          <w:rFonts w:hint="eastAsia" w:ascii="宋体" w:hAnsi="宋体" w:cs="宋体"/>
          <w:snapToGrid w:val="0"/>
          <w:kern w:val="0"/>
          <w:sz w:val="28"/>
          <w:szCs w:val="28"/>
        </w:rPr>
        <w:t>21731.98万元，同比增加5258.63万元，增长31.92%，均为经费拨款</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2021年一般公共预算支出预算21731.98万元，主要支出为：教育支出20713.97万元，社会保障和就业支出460.12万元，卫生健康支出212.80万元，住房保障支出345.09万元。</w:t>
      </w:r>
    </w:p>
    <w:p>
      <w:pPr>
        <w:adjustRightInd w:val="0"/>
        <w:snapToGrid w:val="0"/>
        <w:spacing w:line="360" w:lineRule="auto"/>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五、一般公共预算支出情况说明</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 xml:space="preserve">2021年一般公共预算支出预算21731.98万元。具体构成如下： </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（一）高等职业教育支出20211.96万元，其中基本支出4362.61万元，项目支出15849.35万元；</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（二）中等职业教育支出502.01万元，全部为项目支出</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（三）机关事业单位基本养老保险缴费支出460.12万元，全部为基本支出；</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（四）事业单位医疗支出212.80万元，全部为基本支出；</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（五）住房公积金支出345.09万元，全部为基本支出。</w:t>
      </w:r>
    </w:p>
    <w:p>
      <w:pPr>
        <w:adjustRightInd w:val="0"/>
        <w:snapToGrid w:val="0"/>
        <w:spacing w:before="156" w:beforeLines="50" w:after="156" w:afterLines="50" w:line="360" w:lineRule="auto"/>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六、一般公共预算基本支出情况说明</w:t>
      </w:r>
    </w:p>
    <w:p>
      <w:pPr>
        <w:adjustRightInd w:val="0"/>
        <w:snapToGrid w:val="0"/>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2021年一般公共预算基本支出共5380.62万元，具体构成如下：</w:t>
      </w:r>
    </w:p>
    <w:p>
      <w:pPr>
        <w:numPr>
          <w:ilvl w:val="0"/>
          <w:numId w:val="2"/>
        </w:numPr>
        <w:tabs>
          <w:tab w:val="center" w:pos="4475"/>
        </w:tabs>
        <w:spacing w:line="360" w:lineRule="auto"/>
        <w:ind w:left="-17" w:firstLine="646"/>
        <w:jc w:val="left"/>
        <w:rPr>
          <w:rFonts w:ascii="宋体" w:hAnsi="宋体" w:cs="宋体"/>
          <w:sz w:val="28"/>
          <w:szCs w:val="28"/>
        </w:rPr>
      </w:pPr>
      <w:r>
        <w:rPr>
          <w:rFonts w:hint="eastAsia" w:ascii="宋体" w:hAnsi="宋体" w:cs="宋体"/>
          <w:sz w:val="28"/>
          <w:szCs w:val="28"/>
        </w:rPr>
        <w:t>工资福利支出3918.27万元</w:t>
      </w:r>
      <w:r>
        <w:rPr>
          <w:rFonts w:hint="eastAsia" w:ascii="宋体" w:hAnsi="宋体" w:cs="宋体"/>
          <w:sz w:val="28"/>
          <w:szCs w:val="28"/>
          <w:lang w:eastAsia="zh-CN"/>
        </w:rPr>
        <w:t>，</w:t>
      </w:r>
      <w:r>
        <w:rPr>
          <w:rFonts w:hint="eastAsia" w:ascii="宋体" w:hAnsi="宋体" w:cs="宋体"/>
          <w:sz w:val="28"/>
          <w:szCs w:val="28"/>
          <w:lang w:val="en-US" w:eastAsia="zh-CN"/>
        </w:rPr>
        <w:t>占基本支出总预算72.82%</w:t>
      </w:r>
      <w:r>
        <w:rPr>
          <w:rFonts w:hint="eastAsia" w:ascii="宋体" w:hAnsi="宋体" w:cs="宋体"/>
          <w:sz w:val="28"/>
          <w:szCs w:val="28"/>
        </w:rPr>
        <w:t>。其中：基本工资2871.39万元，津贴补贴4.34万元，机关事业单位基本养老保险460.12万元，城镇职工基本医疗保险缴费212.80万元，其他社会保障缴费20.13万元，住房公积金345.09，其他工资福利支出4.40万元.</w:t>
      </w:r>
    </w:p>
    <w:p>
      <w:pPr>
        <w:numPr>
          <w:ilvl w:val="0"/>
          <w:numId w:val="2"/>
        </w:numPr>
        <w:tabs>
          <w:tab w:val="center" w:pos="4475"/>
        </w:tabs>
        <w:spacing w:line="360" w:lineRule="auto"/>
        <w:ind w:left="-17" w:firstLine="646"/>
        <w:jc w:val="left"/>
        <w:rPr>
          <w:rFonts w:ascii="宋体" w:hAnsi="宋体" w:cs="宋体"/>
          <w:sz w:val="28"/>
          <w:szCs w:val="28"/>
        </w:rPr>
      </w:pPr>
      <w:r>
        <w:rPr>
          <w:rFonts w:hint="eastAsia" w:ascii="宋体" w:hAnsi="宋体" w:cs="宋体"/>
          <w:sz w:val="28"/>
          <w:szCs w:val="28"/>
        </w:rPr>
        <w:t>对个人和家庭的补助支出177.83万元</w:t>
      </w:r>
      <w:r>
        <w:rPr>
          <w:rFonts w:hint="eastAsia" w:ascii="宋体" w:hAnsi="宋体" w:cs="宋体"/>
          <w:sz w:val="28"/>
          <w:szCs w:val="28"/>
          <w:lang w:eastAsia="zh-CN"/>
        </w:rPr>
        <w:t>，</w:t>
      </w:r>
      <w:r>
        <w:rPr>
          <w:rFonts w:hint="eastAsia" w:ascii="宋体" w:hAnsi="宋体" w:cs="宋体"/>
          <w:sz w:val="28"/>
          <w:szCs w:val="28"/>
          <w:lang w:val="en-US" w:eastAsia="zh-CN"/>
        </w:rPr>
        <w:t>占基本支出总预算3.30%</w:t>
      </w:r>
      <w:r>
        <w:rPr>
          <w:rFonts w:hint="eastAsia" w:ascii="宋体" w:hAnsi="宋体" w:cs="宋体"/>
          <w:sz w:val="28"/>
          <w:szCs w:val="28"/>
        </w:rPr>
        <w:t>。其中：离休费15.35万元，退休费18.69万元，其他对个人和家庭的补助支出143.79万元。</w:t>
      </w:r>
    </w:p>
    <w:p>
      <w:pPr>
        <w:numPr>
          <w:ilvl w:val="0"/>
          <w:numId w:val="2"/>
        </w:numPr>
        <w:tabs>
          <w:tab w:val="center" w:pos="4475"/>
        </w:tabs>
        <w:spacing w:line="360" w:lineRule="auto"/>
        <w:ind w:left="-17" w:firstLine="646"/>
        <w:jc w:val="left"/>
        <w:rPr>
          <w:rFonts w:ascii="宋体" w:hAnsi="宋体" w:cs="宋体"/>
          <w:sz w:val="28"/>
          <w:szCs w:val="28"/>
        </w:rPr>
      </w:pPr>
      <w:r>
        <w:rPr>
          <w:rFonts w:hint="eastAsia" w:ascii="宋体" w:hAnsi="宋体" w:cs="宋体"/>
          <w:sz w:val="28"/>
          <w:szCs w:val="28"/>
        </w:rPr>
        <w:t>商品和服务支出1284.52万元</w:t>
      </w:r>
      <w:r>
        <w:rPr>
          <w:rFonts w:hint="eastAsia" w:ascii="宋体" w:hAnsi="宋体" w:cs="宋体"/>
          <w:sz w:val="28"/>
          <w:szCs w:val="28"/>
          <w:lang w:eastAsia="zh-CN"/>
        </w:rPr>
        <w:t>，</w:t>
      </w:r>
      <w:r>
        <w:rPr>
          <w:rFonts w:hint="eastAsia" w:ascii="宋体" w:hAnsi="宋体" w:cs="宋体"/>
          <w:sz w:val="28"/>
          <w:szCs w:val="28"/>
          <w:lang w:val="en-US" w:eastAsia="zh-CN"/>
        </w:rPr>
        <w:t>占基本支出总预算23.87%</w:t>
      </w:r>
      <w:r>
        <w:rPr>
          <w:rFonts w:hint="eastAsia" w:ascii="宋体" w:hAnsi="宋体" w:cs="宋体"/>
          <w:sz w:val="28"/>
          <w:szCs w:val="28"/>
        </w:rPr>
        <w:t>。其中工会经费57.51万元，其他商品和服务支出243.40万元。</w:t>
      </w:r>
    </w:p>
    <w:p>
      <w:pPr>
        <w:spacing w:line="360" w:lineRule="auto"/>
        <w:ind w:firstLine="560" w:firstLineChars="200"/>
        <w:rPr>
          <w:rFonts w:ascii="宋体" w:hAnsi="宋体" w:cs="宋体"/>
          <w:b/>
          <w:kern w:val="0"/>
          <w:sz w:val="28"/>
          <w:szCs w:val="28"/>
        </w:rPr>
      </w:pPr>
      <w:r>
        <w:rPr>
          <w:rFonts w:hint="eastAsia" w:ascii="宋体" w:hAnsi="宋体" w:cs="宋体"/>
          <w:b/>
          <w:kern w:val="0"/>
          <w:sz w:val="28"/>
          <w:szCs w:val="28"/>
        </w:rPr>
        <w:t>七、一般公共预算“三公”经费情况说明</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2021年全口径安排的“三公”经费为110万元，其中：因公出国（境）费用30万元，公务接待费30万元，公务用车运行维护费50万元，全部为纳入财政专户管理的事业收入经费安排；2021年一般公共预算安排的“三公”经费预算为0。</w:t>
      </w:r>
    </w:p>
    <w:p>
      <w:pPr>
        <w:adjustRightInd w:val="0"/>
        <w:snapToGrid w:val="0"/>
        <w:spacing w:line="360" w:lineRule="auto"/>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八、政府性基金预算情况说明</w:t>
      </w:r>
    </w:p>
    <w:p>
      <w:pPr>
        <w:widowControl/>
        <w:shd w:val="clear" w:color="auto" w:fill="FFFFFF"/>
        <w:spacing w:line="360" w:lineRule="auto"/>
        <w:ind w:firstLine="560" w:firstLineChars="200"/>
        <w:jc w:val="left"/>
        <w:rPr>
          <w:rFonts w:ascii="宋体" w:hAnsi="宋体" w:cs="宋体"/>
          <w:snapToGrid w:val="0"/>
          <w:kern w:val="0"/>
          <w:sz w:val="28"/>
          <w:szCs w:val="28"/>
        </w:rPr>
      </w:pPr>
      <w:r>
        <w:rPr>
          <w:rFonts w:hint="eastAsia" w:ascii="宋体" w:hAnsi="宋体" w:cs="宋体"/>
          <w:snapToGrid w:val="0"/>
          <w:kern w:val="0"/>
          <w:sz w:val="28"/>
          <w:szCs w:val="28"/>
        </w:rPr>
        <w:t>本单位2021年无政府性基金预算收支。</w:t>
      </w:r>
    </w:p>
    <w:p>
      <w:pPr>
        <w:spacing w:line="360" w:lineRule="auto"/>
        <w:ind w:firstLine="560" w:firstLineChars="200"/>
        <w:rPr>
          <w:rFonts w:ascii="宋体" w:hAnsi="宋体" w:cs="宋体"/>
          <w:b/>
          <w:kern w:val="0"/>
          <w:sz w:val="28"/>
          <w:szCs w:val="28"/>
        </w:rPr>
      </w:pPr>
      <w:r>
        <w:rPr>
          <w:rFonts w:hint="eastAsia" w:ascii="宋体" w:hAnsi="宋体" w:cs="宋体"/>
          <w:b/>
          <w:kern w:val="0"/>
          <w:sz w:val="28"/>
          <w:szCs w:val="28"/>
        </w:rPr>
        <w:t>九、其他重要事项情况说明</w:t>
      </w:r>
    </w:p>
    <w:p>
      <w:pPr>
        <w:spacing w:line="360" w:lineRule="auto"/>
        <w:ind w:firstLine="560" w:firstLineChars="200"/>
        <w:rPr>
          <w:rFonts w:ascii="宋体" w:hAnsi="宋体" w:cs="宋体"/>
          <w:b/>
          <w:kern w:val="0"/>
          <w:sz w:val="28"/>
          <w:szCs w:val="28"/>
        </w:rPr>
      </w:pPr>
      <w:r>
        <w:rPr>
          <w:rFonts w:hint="eastAsia" w:ascii="宋体" w:hAnsi="宋体" w:cs="宋体"/>
          <w:b/>
          <w:kern w:val="0"/>
          <w:sz w:val="28"/>
          <w:szCs w:val="28"/>
        </w:rPr>
        <w:t>（一）机关运行经费安排情况说明</w:t>
      </w:r>
    </w:p>
    <w:p>
      <w:pPr>
        <w:tabs>
          <w:tab w:val="center" w:pos="4475"/>
        </w:tabs>
        <w:spacing w:line="360" w:lineRule="auto"/>
        <w:ind w:firstLine="645"/>
        <w:rPr>
          <w:rFonts w:ascii="宋体" w:hAnsi="宋体" w:cs="宋体"/>
          <w:snapToGrid w:val="0"/>
          <w:kern w:val="0"/>
          <w:sz w:val="28"/>
          <w:szCs w:val="28"/>
        </w:rPr>
      </w:pPr>
      <w:r>
        <w:rPr>
          <w:rFonts w:hint="eastAsia" w:ascii="宋体" w:hAnsi="宋体" w:cs="宋体"/>
          <w:snapToGrid w:val="0"/>
          <w:kern w:val="0"/>
          <w:sz w:val="28"/>
          <w:szCs w:val="28"/>
        </w:rPr>
        <w:t>本单位2021年无机关运行经费预算收支。</w:t>
      </w:r>
    </w:p>
    <w:p>
      <w:pPr>
        <w:spacing w:line="360" w:lineRule="auto"/>
        <w:ind w:left="629"/>
        <w:rPr>
          <w:rFonts w:ascii="宋体" w:hAnsi="宋体" w:cs="宋体"/>
          <w:b/>
          <w:kern w:val="0"/>
          <w:sz w:val="28"/>
          <w:szCs w:val="28"/>
        </w:rPr>
      </w:pPr>
      <w:r>
        <w:rPr>
          <w:rFonts w:hint="eastAsia" w:ascii="宋体" w:hAnsi="宋体" w:cs="宋体"/>
          <w:b/>
          <w:kern w:val="0"/>
          <w:sz w:val="28"/>
          <w:szCs w:val="28"/>
        </w:rPr>
        <w:t>（二）国有资产占用情况</w:t>
      </w:r>
    </w:p>
    <w:p>
      <w:pPr>
        <w:spacing w:line="360" w:lineRule="auto"/>
        <w:ind w:left="629"/>
        <w:rPr>
          <w:rFonts w:ascii="宋体" w:hAnsi="宋体" w:cs="宋体"/>
          <w:b/>
          <w:kern w:val="0"/>
          <w:sz w:val="28"/>
          <w:szCs w:val="28"/>
        </w:rPr>
      </w:pPr>
      <w:r>
        <w:rPr>
          <w:rFonts w:hint="eastAsia" w:ascii="宋体" w:hAnsi="宋体" w:cs="宋体"/>
          <w:sz w:val="28"/>
          <w:szCs w:val="28"/>
        </w:rPr>
        <w:t>截止2020年末学院编内实有车辆6台，全部为一般业务用车。</w:t>
      </w:r>
    </w:p>
    <w:p>
      <w:pPr>
        <w:spacing w:line="360" w:lineRule="auto"/>
        <w:ind w:left="645"/>
        <w:rPr>
          <w:rFonts w:ascii="宋体" w:hAnsi="宋体" w:cs="宋体"/>
          <w:b/>
          <w:kern w:val="0"/>
          <w:sz w:val="28"/>
          <w:szCs w:val="28"/>
        </w:rPr>
      </w:pPr>
      <w:r>
        <w:rPr>
          <w:rFonts w:hint="eastAsia" w:ascii="宋体" w:hAnsi="宋体" w:cs="宋体"/>
          <w:b/>
          <w:kern w:val="0"/>
          <w:sz w:val="28"/>
          <w:szCs w:val="28"/>
        </w:rPr>
        <w:t>（三）重点项目预算绩效目标等情况说明</w:t>
      </w:r>
    </w:p>
    <w:p>
      <w:pPr>
        <w:ind w:firstLine="560" w:firstLineChars="200"/>
        <w:rPr>
          <w:rFonts w:ascii="宋体" w:hAnsi="宋体" w:cs="宋体"/>
          <w:kern w:val="0"/>
          <w:sz w:val="28"/>
          <w:szCs w:val="28"/>
          <w:highlight w:val="red"/>
        </w:rPr>
      </w:pPr>
      <w:r>
        <w:rPr>
          <w:rFonts w:hint="eastAsia" w:ascii="宋体" w:hAnsi="宋体" w:cs="宋体"/>
          <w:snapToGrid w:val="0"/>
          <w:kern w:val="0"/>
          <w:sz w:val="28"/>
          <w:szCs w:val="28"/>
        </w:rPr>
        <w:t>广西工业职业技术学院2021年共编制重点项目预算绩效目标17个，分别为：2021年本专科国家助学金自治区资金373.97万元、2021年高等教育学生中央资金（资助）2184.88万元、2021年南宁教育园区入园高校补助资金610.00万元、2021年区直普通高职院校生均拨款资金中央资金1797.00万元、2021年区直普通高职院校生均拨款资金资本性支出4933.77万元、2021年区直普通高职院校生均拨款资金自治区资金3527.23万元、2021年现代职业教育发展专项经费979.00万元，2021年中等职业教育免学费补助资金中央资金327.41万元、编外人员经费900.00万元、高水平高职学校和专业建设1100.00万元、高校奖助学金650.00万元、高校日常运行维护费1930.00万元、高校资本性支出1100.00万元、国内债务还本付息3000.00万元、绩效工资12995.00万元、医疗保障缴费809.67万元、住房公积金1120.00万元。</w:t>
      </w:r>
    </w:p>
    <w:p>
      <w:pPr>
        <w:tabs>
          <w:tab w:val="center" w:pos="4475"/>
        </w:tabs>
        <w:spacing w:before="100" w:beforeAutospacing="1" w:after="100" w:afterAutospacing="1" w:line="360" w:lineRule="auto"/>
        <w:ind w:firstLine="560" w:firstLineChars="200"/>
        <w:rPr>
          <w:rFonts w:ascii="宋体" w:hAnsi="宋体" w:cs="宋体"/>
          <w:sz w:val="28"/>
          <w:szCs w:val="28"/>
        </w:rPr>
      </w:pPr>
      <w:r>
        <w:rPr>
          <w:rFonts w:hint="eastAsia" w:ascii="宋体" w:hAnsi="宋体" w:cs="宋体"/>
          <w:sz w:val="28"/>
          <w:szCs w:val="28"/>
        </w:rPr>
        <w:t>第四部分：名词解释</w:t>
      </w:r>
    </w:p>
    <w:p>
      <w:pPr>
        <w:pStyle w:val="6"/>
        <w:shd w:val="clear" w:color="auto" w:fill="FFFFFF"/>
        <w:autoSpaceDE w:val="0"/>
        <w:spacing w:line="360" w:lineRule="auto"/>
        <w:ind w:left="0" w:firstLine="640"/>
        <w:rPr>
          <w:rFonts w:ascii="宋体" w:hAnsi="宋体" w:cs="宋体"/>
          <w:sz w:val="28"/>
          <w:szCs w:val="28"/>
        </w:rPr>
      </w:pPr>
      <w:r>
        <w:rPr>
          <w:rFonts w:hint="eastAsia" w:ascii="宋体" w:hAnsi="宋体" w:cs="宋体"/>
          <w:sz w:val="28"/>
          <w:szCs w:val="28"/>
        </w:rPr>
        <w:t>1.财政拨款收入：自治区财政当年拨付的资金；</w:t>
      </w:r>
    </w:p>
    <w:p>
      <w:pPr>
        <w:pStyle w:val="6"/>
        <w:shd w:val="clear" w:color="auto" w:fill="FFFFFF"/>
        <w:spacing w:line="360" w:lineRule="auto"/>
        <w:ind w:left="0" w:firstLine="600"/>
        <w:rPr>
          <w:rFonts w:ascii="宋体" w:hAnsi="宋体" w:cs="宋体"/>
          <w:sz w:val="28"/>
          <w:szCs w:val="28"/>
        </w:rPr>
      </w:pPr>
      <w:r>
        <w:rPr>
          <w:rFonts w:hint="eastAsia" w:ascii="宋体" w:hAnsi="宋体" w:cs="宋体"/>
          <w:sz w:val="28"/>
          <w:szCs w:val="28"/>
        </w:rPr>
        <w:t>2.部门基本支出预算：是指部门为保障其机构正常运转、完成日常工作任务而编制的年度基本支出计划，按其性质分为人员经费和日常公用经费；</w:t>
      </w:r>
    </w:p>
    <w:p>
      <w:pPr>
        <w:pStyle w:val="6"/>
        <w:shd w:val="clear" w:color="auto" w:fill="FFFFFF"/>
        <w:spacing w:line="360" w:lineRule="auto"/>
        <w:ind w:left="0" w:firstLine="600"/>
        <w:rPr>
          <w:rFonts w:ascii="宋体" w:hAnsi="宋体" w:cs="宋体"/>
          <w:sz w:val="28"/>
          <w:szCs w:val="28"/>
        </w:rPr>
      </w:pPr>
      <w:r>
        <w:rPr>
          <w:rFonts w:hint="eastAsia" w:ascii="宋体" w:hAnsi="宋体" w:cs="宋体"/>
          <w:sz w:val="28"/>
          <w:szCs w:val="28"/>
        </w:rPr>
        <w:t>3.部门项目支出预算：是指部门为完成特定的行政任务或事业发展专项计划，在基本支出预算之外编制的年度支出计划</w:t>
      </w:r>
    </w:p>
    <w:p>
      <w:pPr>
        <w:pStyle w:val="6"/>
        <w:shd w:val="clear" w:color="auto" w:fill="FFFFFF"/>
        <w:spacing w:line="360" w:lineRule="auto"/>
        <w:ind w:left="0" w:firstLine="600"/>
        <w:rPr>
          <w:rFonts w:ascii="宋体" w:hAnsi="宋体" w:cs="宋体"/>
          <w:sz w:val="28"/>
          <w:szCs w:val="28"/>
        </w:rPr>
      </w:pPr>
      <w:r>
        <w:rPr>
          <w:rFonts w:hint="eastAsia" w:ascii="宋体" w:hAnsi="宋体" w:cs="宋体"/>
          <w:sz w:val="28"/>
          <w:szCs w:val="28"/>
        </w:rPr>
        <w:t>4.教育支出：反映政府教育支出情况，包括教育管理事务支出、普通教育支出、成人教育等方面支出；</w:t>
      </w:r>
    </w:p>
    <w:p>
      <w:pPr>
        <w:pStyle w:val="6"/>
        <w:shd w:val="clear" w:color="auto" w:fill="FFFFFF"/>
        <w:spacing w:line="360" w:lineRule="auto"/>
        <w:ind w:left="0" w:firstLine="6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.社会保障和就业支出：反映政府在社会保障和就业方面的支出，我</w:t>
      </w:r>
      <w:r>
        <w:rPr>
          <w:rFonts w:hint="eastAsia" w:ascii="宋体" w:hAnsi="宋体" w:cs="宋体"/>
          <w:sz w:val="28"/>
          <w:szCs w:val="28"/>
          <w:lang w:val="en-US" w:eastAsia="zh-CN"/>
        </w:rPr>
        <w:t>院</w:t>
      </w:r>
      <w:r>
        <w:rPr>
          <w:rFonts w:hint="eastAsia" w:ascii="宋体" w:hAnsi="宋体" w:cs="宋体"/>
          <w:sz w:val="28"/>
          <w:szCs w:val="28"/>
        </w:rPr>
        <w:t>主要是由单位缴纳的基本养老保险费支出和职业年金等支出；</w:t>
      </w:r>
    </w:p>
    <w:p>
      <w:pPr>
        <w:pStyle w:val="6"/>
        <w:shd w:val="clear" w:color="auto" w:fill="FFFFFF"/>
        <w:autoSpaceDE w:val="0"/>
        <w:spacing w:line="360" w:lineRule="auto"/>
        <w:ind w:left="0" w:firstLine="640"/>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 医疗卫生与计划生育支出：反映政府医疗卫生与计划生育管理方面的支出，我</w:t>
      </w:r>
      <w:r>
        <w:rPr>
          <w:rFonts w:hint="eastAsia" w:ascii="宋体" w:hAnsi="宋体" w:cs="宋体"/>
          <w:sz w:val="28"/>
          <w:szCs w:val="28"/>
          <w:lang w:val="en-US" w:eastAsia="zh-CN"/>
        </w:rPr>
        <w:t>院</w:t>
      </w:r>
      <w:r>
        <w:rPr>
          <w:rFonts w:hint="eastAsia" w:ascii="宋体" w:hAnsi="宋体" w:cs="宋体"/>
          <w:sz w:val="28"/>
          <w:szCs w:val="28"/>
        </w:rPr>
        <w:t>主要为基本医疗保险缴费经费；</w:t>
      </w:r>
    </w:p>
    <w:p>
      <w:pPr>
        <w:pStyle w:val="6"/>
        <w:shd w:val="clear" w:color="auto" w:fill="FFFFFF"/>
        <w:autoSpaceDE w:val="0"/>
        <w:spacing w:line="360" w:lineRule="auto"/>
        <w:ind w:left="0" w:firstLine="640"/>
        <w:rPr>
          <w:rFonts w:ascii="宋体" w:hAnsi="宋体" w:cs="宋体"/>
          <w:sz w:val="28"/>
          <w:szCs w:val="28"/>
        </w:rPr>
      </w:pPr>
      <w:r>
        <w:rPr>
          <w:rFonts w:hint="eastAsia" w:ascii="宋体" w:hAnsi="宋体" w:cs="宋体"/>
          <w:sz w:val="28"/>
          <w:szCs w:val="28"/>
        </w:rPr>
        <w:t>8.住房保障支出：是指单位按人力资源和社会保障部、财政部规定的基本工资和津贴补贴以及规定比例为职工缴纳的住房公积金；</w:t>
      </w:r>
    </w:p>
    <w:p>
      <w:pPr>
        <w:pStyle w:val="6"/>
        <w:shd w:val="clear" w:color="auto" w:fill="FFFFFF"/>
        <w:autoSpaceDE w:val="0"/>
        <w:spacing w:line="360" w:lineRule="auto"/>
        <w:ind w:left="0" w:firstLine="640"/>
        <w:rPr>
          <w:rFonts w:ascii="宋体" w:hAnsi="宋体" w:cs="宋体"/>
          <w:sz w:val="28"/>
          <w:szCs w:val="28"/>
        </w:rPr>
      </w:pPr>
      <w:r>
        <w:rPr>
          <w:rFonts w:hint="eastAsia" w:ascii="宋体" w:hAnsi="宋体" w:cs="宋体"/>
          <w:sz w:val="28"/>
          <w:szCs w:val="28"/>
        </w:rPr>
        <w:t>9.商品服务支出：反映单位为满足日常工作需要购买商品和劳务的支出。具体包括办公费、水费、电费、邮电费、咨询费、印刷费、差旅费、工会经费、会议费、培训费、物业管理费、维修（护）费、租赁费等；</w:t>
      </w:r>
    </w:p>
    <w:p>
      <w:pPr>
        <w:pStyle w:val="6"/>
        <w:shd w:val="clear" w:color="auto" w:fill="FFFFFF"/>
        <w:autoSpaceDE w:val="0"/>
        <w:spacing w:line="360" w:lineRule="auto"/>
        <w:ind w:left="0" w:firstLine="640"/>
        <w:rPr>
          <w:rFonts w:ascii="宋体" w:hAnsi="宋体" w:cs="宋体"/>
          <w:sz w:val="28"/>
          <w:szCs w:val="28"/>
        </w:rPr>
      </w:pPr>
      <w:r>
        <w:rPr>
          <w:rFonts w:hint="eastAsia" w:ascii="宋体" w:hAnsi="宋体" w:cs="宋体"/>
          <w:sz w:val="28"/>
          <w:szCs w:val="28"/>
        </w:rPr>
        <w:t>10.对个人和家庭的补助支出：反映政府对个人和家庭的无偿性补助支出。具体包括离休费、退休费、退职（役）费、抚恤和生活补助、医疗费、住房公积金、助学金、其他等；</w:t>
      </w:r>
    </w:p>
    <w:p>
      <w:pPr>
        <w:pStyle w:val="6"/>
        <w:shd w:val="clear" w:color="auto" w:fill="FFFFFF"/>
        <w:spacing w:line="360" w:lineRule="auto"/>
        <w:ind w:left="0" w:firstLine="600"/>
        <w:rPr>
          <w:rFonts w:ascii="宋体" w:hAnsi="宋体" w:cs="宋体"/>
          <w:sz w:val="28"/>
          <w:szCs w:val="28"/>
        </w:rPr>
      </w:pPr>
      <w:r>
        <w:rPr>
          <w:rFonts w:hint="eastAsia" w:ascii="宋体" w:hAnsi="宋体" w:cs="宋体"/>
          <w:sz w:val="28"/>
          <w:szCs w:val="28"/>
        </w:rPr>
        <w:t>11.“三公”经费支出：纳入财政预算管理的“三公”经费，是部门用财政拨款安排的因公出国（境）费、公务用车购置及运行费和公务接待费。其中：因公出国（境）费反映单位公务出国（境）的国际旅费、国外城市交通费、住宿费、伙食费、培训费、公杂费等支出；公务用车购置及运行费反映单位公务用车车辆购置支出（含车辆购置税）及租用费、燃料费、维修费、过路过桥费、保险费、安全奖励费等支出；公务接待费反映单位按规定开支的各类公务接待（含外宾接待）支出；</w:t>
      </w:r>
    </w:p>
    <w:p>
      <w:pPr>
        <w:pStyle w:val="6"/>
        <w:shd w:val="clear" w:color="auto" w:fill="FFFFFF"/>
        <w:spacing w:line="360" w:lineRule="auto"/>
        <w:ind w:left="0" w:firstLine="600"/>
        <w:rPr>
          <w:rFonts w:ascii="宋体" w:hAnsi="宋体" w:cs="宋体"/>
          <w:sz w:val="28"/>
          <w:szCs w:val="28"/>
        </w:rPr>
      </w:pPr>
      <w:r>
        <w:rPr>
          <w:rFonts w:hint="eastAsia" w:ascii="宋体" w:hAnsi="宋体" w:cs="宋体"/>
          <w:sz w:val="28"/>
          <w:szCs w:val="28"/>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701" w:right="1418" w:bottom="1418" w:left="1418" w:header="851" w:footer="113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6E142"/>
    <w:multiLevelType w:val="singleLevel"/>
    <w:tmpl w:val="B1F6E142"/>
    <w:lvl w:ilvl="0" w:tentative="0">
      <w:start w:val="1"/>
      <w:numFmt w:val="chineseCounting"/>
      <w:suff w:val="nothing"/>
      <w:lvlText w:val="（%1）"/>
      <w:lvlJc w:val="left"/>
      <w:pPr>
        <w:ind w:left="-15"/>
      </w:pPr>
      <w:rPr>
        <w:rFonts w:hint="eastAsia"/>
      </w:rPr>
    </w:lvl>
  </w:abstractNum>
  <w:abstractNum w:abstractNumId="1">
    <w:nsid w:val="0048B75B"/>
    <w:multiLevelType w:val="singleLevel"/>
    <w:tmpl w:val="0048B75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1242F"/>
    <w:rsid w:val="002666BE"/>
    <w:rsid w:val="003B305F"/>
    <w:rsid w:val="00525154"/>
    <w:rsid w:val="005863B1"/>
    <w:rsid w:val="00593A1B"/>
    <w:rsid w:val="005A23CC"/>
    <w:rsid w:val="005B7B85"/>
    <w:rsid w:val="00906F98"/>
    <w:rsid w:val="009F481A"/>
    <w:rsid w:val="00D410E1"/>
    <w:rsid w:val="00E66E8E"/>
    <w:rsid w:val="00EB7292"/>
    <w:rsid w:val="00FC5F76"/>
    <w:rsid w:val="02F1242F"/>
    <w:rsid w:val="13F4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Normal (Web)"/>
    <w:basedOn w:val="1"/>
    <w:uiPriority w:val="0"/>
    <w:pPr>
      <w:spacing w:before="100" w:beforeAutospacing="1" w:after="100" w:afterAutospacing="1"/>
      <w:jc w:val="left"/>
    </w:pPr>
    <w:rPr>
      <w:kern w:val="0"/>
      <w:sz w:val="24"/>
    </w:rPr>
  </w:style>
  <w:style w:type="paragraph" w:customStyle="1" w:styleId="6">
    <w:name w:val="p0"/>
    <w:basedOn w:val="1"/>
    <w:qFormat/>
    <w:uiPriority w:val="0"/>
    <w:pPr>
      <w:widowControl/>
      <w:spacing w:line="365" w:lineRule="atLeast"/>
      <w:ind w:left="1"/>
    </w:pPr>
    <w:rPr>
      <w:kern w:val="0"/>
      <w:sz w:val="20"/>
      <w:szCs w:val="20"/>
    </w:rPr>
  </w:style>
  <w:style w:type="character" w:customStyle="1" w:styleId="7">
    <w:name w:val="批注框文本 Char"/>
    <w:basedOn w:val="5"/>
    <w:link w:val="2"/>
    <w:uiPriority w:val="0"/>
    <w:rPr>
      <w:rFonts w:ascii="Times New Roman" w:hAnsi="Times New Roman" w:eastAsia="宋体" w:cs="Times New Roman"/>
      <w:kern w:val="2"/>
      <w:sz w:val="18"/>
      <w:szCs w:val="18"/>
    </w:rPr>
  </w:style>
  <w:style w:type="paragraph" w:customStyle="1" w:styleId="8">
    <w:name w:val="四级标题1.1.1.1"/>
    <w:basedOn w:val="1"/>
    <w:next w:val="1"/>
    <w:uiPriority w:val="0"/>
    <w:pPr>
      <w:keepNext/>
      <w:keepLines/>
      <w:widowControl/>
      <w:adjustRightInd w:val="0"/>
      <w:spacing w:before="40" w:after="40" w:line="360" w:lineRule="auto"/>
      <w:ind w:firstLine="200" w:firstLineChars="200"/>
      <w:outlineLvl w:val="3"/>
    </w:pPr>
    <w:rPr>
      <w:rFonts w:eastAsia="仿宋_GB2312" w:cs="宋体"/>
      <w:b/>
      <w:kern w:val="0"/>
      <w:sz w:val="24"/>
      <w:szCs w:val="2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C12B8-E138-49DB-889C-0035A35CD942}">
  <ds:schemaRefs/>
</ds:datastoreItem>
</file>

<file path=docProps/app.xml><?xml version="1.0" encoding="utf-8"?>
<Properties xmlns="http://schemas.openxmlformats.org/officeDocument/2006/extended-properties" xmlns:vt="http://schemas.openxmlformats.org/officeDocument/2006/docPropsVTypes">
  <Template>Normal</Template>
  <Pages>8</Pages>
  <Words>650</Words>
  <Characters>3709</Characters>
  <Lines>30</Lines>
  <Paragraphs>8</Paragraphs>
  <TotalTime>0</TotalTime>
  <ScaleCrop>false</ScaleCrop>
  <LinksUpToDate>false</LinksUpToDate>
  <CharactersWithSpaces>4351</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2021-04-01T04:23:00Z</dcterms:created>
  <dc:creator>提莫炖蘑菇</dc:creator>
  <cp:lastModifiedBy>Administrator</cp:lastModifiedBy>
  <cp:lastPrinted>2021-04-01T09:49:30Z</cp:lastPrinted>
  <dcterms:modified xsi:type="dcterms:W3CDTF">2021-04-01T10:03:05Z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4CAB55F75F3C446E903490DB02820BDD</vt:lpwstr>
  </property>
</Properties>
</file>